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  <w:lang w:eastAsia="zh-CN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关于《淮安市港口岸线管理办法》</w:t>
      </w: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  <w:lang w:eastAsia="zh-CN"/>
        </w:rPr>
        <w:t>的修改</w:t>
      </w: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  <w:t>建议</w:t>
      </w:r>
      <w:r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  <w:lang w:eastAsia="zh-CN"/>
        </w:rPr>
        <w:t>及采纳情况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经公开征求意见，现收到修改建议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6条：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highlight w:val="yellow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建议将《办法》中第五条最后一句“不得利用航道自然岸坡两侧设置装卸货物的浮吊船”删除。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建议在第七条增加“航道、海事部门的意见”。第七条第（三）项“港口岸线使用长度后面增加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位置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”，在审批过程中没有这项省里是通不过的。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  <w:lang w:eastAsia="zh-CN"/>
        </w:rPr>
        <w:t>（采纳）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期限问题。建议增加，经批准使用港口岸线建设项目，应当自取得岸线许可文件之日起2年内开工建设。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  <w:lang w:eastAsia="zh-CN"/>
        </w:rPr>
        <w:t>（采纳）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建议将第十一条改为“水利部门应当加强堤防用地出租管理，严禁将堤防用地用于非法码头和浮吊船作业点货场，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土地出租后承租人须到港口管理部门备案方可使用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。乡镇政府应当加强有关土地使用权管理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......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建议增加”承租人未及时到港口管理部门备案租用堤防用地的，由港口管理部门。。。。”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因工程建设需要临时使用港口岸线。建议增加，并细化临时使用港口岸线所需要资料。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  <w:lang w:eastAsia="zh-CN"/>
        </w:rPr>
        <w:t>（采纳）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淮安市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交通运输局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2018年8月3日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3787E"/>
    <w:rsid w:val="018F5CD5"/>
    <w:rsid w:val="27C87C33"/>
    <w:rsid w:val="2D4466BA"/>
    <w:rsid w:val="44F3787E"/>
    <w:rsid w:val="5A7723F1"/>
    <w:rsid w:val="5C0662E1"/>
    <w:rsid w:val="60D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2019-01-02T07:19:00Z</dcterms:created>
  <dc:creator>Administrator</dc:creator>
  <cp:lastModifiedBy>Administrator</cp:lastModifiedBy>
  <dcterms:modified xsi:type="dcterms:W3CDTF">2019-01-02T07:27:22Z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